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AA" w:rsidRPr="00C07BAA" w:rsidRDefault="00C07BAA" w:rsidP="00C07BAA">
      <w:pPr>
        <w:keepNext/>
        <w:keepLines/>
        <w:pageBreakBefore/>
        <w:spacing w:before="480" w:after="240"/>
        <w:outlineLvl w:val="0"/>
        <w:rPr>
          <w:rFonts w:ascii="Arial" w:eastAsia="Calibri" w:hAnsi="Arial" w:cs="Arial"/>
          <w:b/>
          <w:bCs/>
          <w:sz w:val="28"/>
          <w:szCs w:val="36"/>
        </w:rPr>
      </w:pPr>
      <w:r w:rsidRPr="00C07BAA">
        <w:rPr>
          <w:rFonts w:ascii="Arial" w:eastAsia="Calibri" w:hAnsi="Arial" w:cs="Arial"/>
          <w:b/>
          <w:bCs/>
          <w:noProof/>
          <w:sz w:val="28"/>
          <w:szCs w:val="36"/>
        </w:rPr>
        <w:t>МАДОУ «Детский сад № 6»</w:t>
      </w:r>
      <w:r w:rsidRPr="00C07BAA">
        <w:rPr>
          <w:rFonts w:ascii="Arial" w:eastAsia="Calibri" w:hAnsi="Arial" w:cs="Arial"/>
          <w:b/>
          <w:bCs/>
          <w:sz w:val="28"/>
          <w:szCs w:val="36"/>
        </w:rPr>
        <w:t xml:space="preserve">, ИНН </w:t>
      </w:r>
      <w:r w:rsidRPr="00C07BAA">
        <w:rPr>
          <w:rFonts w:ascii="Arial" w:eastAsia="Calibri" w:hAnsi="Arial" w:cs="Arial"/>
          <w:b/>
          <w:bCs/>
          <w:noProof/>
          <w:sz w:val="28"/>
          <w:szCs w:val="36"/>
        </w:rPr>
        <w:t>6606018470</w:t>
      </w:r>
      <w:r w:rsidRPr="00C07BAA">
        <w:rPr>
          <w:rFonts w:ascii="Arial" w:eastAsia="Calibri" w:hAnsi="Arial" w:cs="Arial"/>
          <w:b/>
          <w:bCs/>
          <w:sz w:val="28"/>
          <w:szCs w:val="36"/>
        </w:rPr>
        <w:t xml:space="preserve">  </w:t>
      </w:r>
    </w:p>
    <w:p w:rsidR="00C07BAA" w:rsidRPr="00C07BAA" w:rsidRDefault="00C07BAA" w:rsidP="00C07BAA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Административно-территориальная единица: 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ГО Верхняя Пышма</w:t>
      </w:r>
    </w:p>
    <w:p w:rsidR="00C07BAA" w:rsidRPr="00C07BAA" w:rsidRDefault="00C07BAA" w:rsidP="00C07BAA">
      <w:pPr>
        <w:spacing w:line="240" w:lineRule="auto"/>
        <w:jc w:val="center"/>
        <w:rPr>
          <w:rFonts w:ascii="Arial" w:eastAsiaTheme="minorEastAsia" w:hAnsi="Arial" w:cs="Arial"/>
          <w:i/>
          <w:sz w:val="24"/>
          <w:szCs w:val="24"/>
          <w:lang w:eastAsia="ru-RU"/>
        </w:rPr>
      </w:pPr>
    </w:p>
    <w:p w:rsidR="00C07BAA" w:rsidRPr="00C07BAA" w:rsidRDefault="00C07BAA" w:rsidP="00C07BAA">
      <w:pPr>
        <w:spacing w:line="240" w:lineRule="auto"/>
        <w:jc w:val="center"/>
        <w:rPr>
          <w:rFonts w:ascii="Arial" w:eastAsiaTheme="minorEastAsia" w:hAnsi="Arial" w:cs="Arial"/>
          <w:i/>
          <w:sz w:val="28"/>
          <w:szCs w:val="24"/>
          <w:lang w:eastAsia="ru-RU"/>
        </w:rPr>
      </w:pPr>
      <w:r w:rsidRPr="00C07BAA">
        <w:rPr>
          <w:rFonts w:ascii="Arial" w:eastAsiaTheme="minorEastAsia" w:hAnsi="Arial" w:cs="Arial"/>
          <w:i/>
          <w:sz w:val="28"/>
          <w:szCs w:val="24"/>
          <w:lang w:eastAsia="ru-RU"/>
        </w:rPr>
        <w:t xml:space="preserve">Результаты независимой </w:t>
      </w:r>
      <w:proofErr w:type="gramStart"/>
      <w:r w:rsidRPr="00C07BAA">
        <w:rPr>
          <w:rFonts w:ascii="Arial" w:eastAsiaTheme="minorEastAsia" w:hAnsi="Arial" w:cs="Arial"/>
          <w:i/>
          <w:sz w:val="28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</w:p>
    <w:p w:rsidR="00C07BAA" w:rsidRPr="00C07BAA" w:rsidRDefault="00C07BAA" w:rsidP="00C07BAA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Общее количество опрошенных составляет -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403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чел. – родителей/ законных представителей получателей услуг.</w:t>
      </w:r>
    </w:p>
    <w:p w:rsidR="00C07BAA" w:rsidRPr="00C07BAA" w:rsidRDefault="00C07BAA" w:rsidP="00C07BAA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07BAA" w:rsidRPr="00C07BAA" w:rsidRDefault="00C07BAA" w:rsidP="00C07BAA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В ходе проведенной независимой </w:t>
      </w:r>
      <w:proofErr w:type="gramStart"/>
      <w:r w:rsidRPr="00C07BAA">
        <w:rPr>
          <w:rFonts w:ascii="Arial" w:eastAsiaTheme="minorEastAsia" w:hAnsi="Arial" w:cs="Arial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были получены следующие результаты:</w:t>
      </w:r>
    </w:p>
    <w:p w:rsidR="00C07BAA" w:rsidRPr="00C07BAA" w:rsidRDefault="00C07BAA" w:rsidP="00C07BAA">
      <w:pPr>
        <w:spacing w:before="12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>«Открытость и доступность информации об образовательной организации»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 xml:space="preserve">97,1 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>балла</w:t>
      </w:r>
    </w:p>
    <w:p w:rsidR="00C07BAA" w:rsidRPr="00C07BAA" w:rsidRDefault="00C07BAA" w:rsidP="00C07BAA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C07BAA" w:rsidRPr="00C07BAA" w:rsidRDefault="00C07BAA" w:rsidP="00C07BAA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C07BAA">
        <w:rPr>
          <w:rFonts w:ascii="Arial" w:eastAsiaTheme="minorEastAsia" w:hAnsi="Arial" w:cs="Arial"/>
          <w:sz w:val="24"/>
          <w:szCs w:val="24"/>
          <w:lang w:eastAsia="ru-RU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 xml:space="preserve">93 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>балла</w:t>
      </w:r>
      <w:proofErr w:type="gramEnd"/>
    </w:p>
    <w:p w:rsidR="00C07BAA" w:rsidRPr="00C07BAA" w:rsidRDefault="00C07BAA" w:rsidP="00C07BAA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100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98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>«Комфортность условий предоставления услуг»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77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C07BAA" w:rsidRPr="00C07BAA" w:rsidRDefault="00C07BAA" w:rsidP="00C07BAA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обеспечение в образовательной организации комфортных условий для предоставления услуг -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60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spacing w:after="120"/>
        <w:ind w:left="709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94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>«Доступность услуг для инвалидов»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25,5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C07BAA" w:rsidRPr="00C07BAA" w:rsidRDefault="00C07BAA" w:rsidP="00C07BAA">
      <w:pPr>
        <w:spacing w:after="120" w:line="240" w:lineRule="auto"/>
        <w:ind w:left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0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баллов</w:t>
      </w:r>
    </w:p>
    <w:p w:rsidR="00C07BAA" w:rsidRPr="00C07BAA" w:rsidRDefault="00C07BAA" w:rsidP="00C07BAA">
      <w:pPr>
        <w:spacing w:after="120" w:line="240" w:lineRule="auto"/>
        <w:ind w:left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0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баллов</w:t>
      </w:r>
    </w:p>
    <w:p w:rsidR="00C07BAA" w:rsidRPr="00C07BAA" w:rsidRDefault="00C07BAA" w:rsidP="00C07BAA">
      <w:pPr>
        <w:spacing w:after="120" w:line="240" w:lineRule="auto"/>
        <w:ind w:left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доступностью услуг для инвалидов -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85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07BAA" w:rsidRPr="00C07BAA" w:rsidRDefault="00C07BAA" w:rsidP="00C07BAA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>«Доброжелательность, вежливость работников организации»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98,6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C07BAA" w:rsidRPr="00C07BAA" w:rsidRDefault="00C07BAA" w:rsidP="00C07BAA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98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99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99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spacing w:after="120"/>
        <w:ind w:left="36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C07BAA" w:rsidRPr="00C07BAA" w:rsidRDefault="00C07BAA" w:rsidP="00C07BAA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>«Удовлетворенность условиями оказания услуг»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99,5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C07BAA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C07BAA" w:rsidRPr="00C07BAA" w:rsidRDefault="00C07BAA" w:rsidP="00C07BAA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100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организационными условиями  -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100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99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C07BAA" w:rsidRPr="00C07BAA" w:rsidRDefault="00C07BAA" w:rsidP="00C07BAA">
      <w:pPr>
        <w:ind w:left="36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C07BAA" w:rsidRPr="00C07BAA" w:rsidRDefault="00C07BAA" w:rsidP="00C07BAA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>Выводные положения:</w:t>
      </w:r>
    </w:p>
    <w:p w:rsidR="00C07BAA" w:rsidRPr="00C07BAA" w:rsidRDefault="00C07BAA" w:rsidP="00C07BAA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Расчет итогового </w:t>
      </w:r>
      <w:proofErr w:type="gramStart"/>
      <w:r w:rsidRPr="00C07BAA">
        <w:rPr>
          <w:rFonts w:ascii="Arial" w:eastAsiaTheme="minorEastAsia" w:hAnsi="Arial" w:cs="Arial"/>
          <w:sz w:val="24"/>
          <w:szCs w:val="24"/>
          <w:lang w:eastAsia="ru-RU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произведен по формуле: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ab/>
      </w:r>
    </w:p>
    <w:p w:rsidR="00C07BAA" w:rsidRPr="00C07BAA" w:rsidRDefault="00C07BAA" w:rsidP="00C07BAA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C07BAA">
        <w:rPr>
          <w:rFonts w:ascii="Arial" w:eastAsia="Times New Roman" w:hAnsi="Arial" w:cs="Arial"/>
          <w:b/>
          <w:bCs/>
          <w:sz w:val="24"/>
          <w:szCs w:val="28"/>
          <w:lang w:val="en-US" w:eastAsia="ru-RU"/>
        </w:rPr>
        <w:t>S</w:t>
      </w:r>
      <w:r w:rsidRPr="00C07BAA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 w:eastAsia="ru-RU"/>
        </w:rPr>
        <w:t>n</w:t>
      </w:r>
      <w:r w:rsidRPr="00C07BAA">
        <w:rPr>
          <w:rFonts w:ascii="Arial" w:eastAsia="Times New Roman" w:hAnsi="Arial" w:cs="Arial"/>
          <w:b/>
          <w:bCs/>
          <w:sz w:val="24"/>
          <w:szCs w:val="28"/>
          <w:vertAlign w:val="superscript"/>
          <w:lang w:eastAsia="ru-RU"/>
        </w:rPr>
        <w:t xml:space="preserve"> </w:t>
      </w:r>
      <w:r w:rsidRPr="00C07BAA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=∑</w:t>
      </w:r>
      <w:proofErr w:type="spellStart"/>
      <w:r w:rsidRPr="00C07BAA">
        <w:rPr>
          <w:rFonts w:ascii="Arial" w:eastAsia="Times New Roman" w:hAnsi="Arial" w:cs="Arial"/>
          <w:b/>
          <w:bCs/>
          <w:sz w:val="24"/>
          <w:szCs w:val="28"/>
          <w:lang w:val="en-US" w:eastAsia="ru-RU"/>
        </w:rPr>
        <w:t>K</w:t>
      </w:r>
      <w:r w:rsidRPr="00C07BAA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 w:eastAsia="ru-RU"/>
        </w:rPr>
        <w:t>m</w:t>
      </w:r>
      <w:r w:rsidRPr="00C07BAA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 w:eastAsia="ru-RU"/>
        </w:rPr>
        <w:t>n</w:t>
      </w:r>
      <w:proofErr w:type="spellEnd"/>
      <w:r w:rsidRPr="00C07BAA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/5, </w:t>
      </w:r>
    </w:p>
    <w:p w:rsidR="00C07BAA" w:rsidRPr="00C07BAA" w:rsidRDefault="00C07BAA" w:rsidP="00C07BA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r w:rsidRPr="00C07BAA">
        <w:rPr>
          <w:rFonts w:ascii="Arial" w:eastAsia="Times New Roman" w:hAnsi="Arial" w:cs="Arial"/>
          <w:bCs/>
          <w:szCs w:val="28"/>
          <w:lang w:eastAsia="ru-RU"/>
        </w:rPr>
        <w:t>где:</w:t>
      </w:r>
    </w:p>
    <w:p w:rsidR="00C07BAA" w:rsidRPr="00C07BAA" w:rsidRDefault="00C07BAA" w:rsidP="00C07BA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proofErr w:type="gramStart"/>
      <w:r w:rsidRPr="00C07BAA">
        <w:rPr>
          <w:rFonts w:ascii="Arial" w:eastAsia="Times New Roman" w:hAnsi="Arial" w:cs="Arial"/>
          <w:b/>
          <w:bCs/>
          <w:szCs w:val="28"/>
          <w:lang w:val="en-US" w:eastAsia="ru-RU"/>
        </w:rPr>
        <w:t>S</w:t>
      </w:r>
      <w:r w:rsidRPr="00C07BAA">
        <w:rPr>
          <w:rFonts w:ascii="Arial" w:eastAsia="Times New Roman" w:hAnsi="Arial" w:cs="Arial"/>
          <w:b/>
          <w:bCs/>
          <w:szCs w:val="28"/>
          <w:vertAlign w:val="subscript"/>
          <w:lang w:val="en-US" w:eastAsia="ru-RU"/>
        </w:rPr>
        <w:t>n</w:t>
      </w:r>
      <w:r w:rsidRPr="00C07BAA">
        <w:rPr>
          <w:rFonts w:ascii="Arial" w:eastAsia="Times New Roman" w:hAnsi="Arial" w:cs="Arial"/>
          <w:b/>
          <w:bCs/>
          <w:szCs w:val="28"/>
          <w:vertAlign w:val="subscript"/>
          <w:lang w:eastAsia="ru-RU"/>
        </w:rPr>
        <w:t xml:space="preserve">  </w:t>
      </w:r>
      <w:r w:rsidRPr="00C07BAA">
        <w:rPr>
          <w:rFonts w:ascii="Arial" w:eastAsia="Times New Roman" w:hAnsi="Arial" w:cs="Arial"/>
          <w:b/>
          <w:bCs/>
          <w:szCs w:val="28"/>
          <w:lang w:eastAsia="ru-RU"/>
        </w:rPr>
        <w:t>–</w:t>
      </w:r>
      <w:proofErr w:type="gramEnd"/>
      <w:r w:rsidRPr="00C07BAA">
        <w:rPr>
          <w:rFonts w:ascii="Arial" w:eastAsia="Times New Roman" w:hAnsi="Arial" w:cs="Arial"/>
          <w:bCs/>
          <w:szCs w:val="28"/>
          <w:lang w:eastAsia="ru-RU"/>
        </w:rPr>
        <w:t xml:space="preserve">  показатель </w:t>
      </w:r>
      <w:r w:rsidRPr="00C07BAA">
        <w:rPr>
          <w:rFonts w:ascii="Arial" w:eastAsia="Times New Roman" w:hAnsi="Arial" w:cs="Arial"/>
          <w:bCs/>
          <w:color w:val="000000"/>
          <w:szCs w:val="28"/>
          <w:lang w:eastAsia="ru-RU"/>
        </w:rPr>
        <w:t xml:space="preserve">оценки качества </w:t>
      </w:r>
      <w:r w:rsidRPr="00C07BAA">
        <w:rPr>
          <w:rFonts w:ascii="Arial" w:eastAsia="Times New Roman" w:hAnsi="Arial" w:cs="Arial"/>
          <w:bCs/>
          <w:szCs w:val="28"/>
          <w:lang w:val="en-US" w:eastAsia="ru-RU"/>
        </w:rPr>
        <w:t>n</w:t>
      </w:r>
      <w:r w:rsidRPr="00C07BAA">
        <w:rPr>
          <w:rFonts w:ascii="Arial" w:eastAsia="Times New Roman" w:hAnsi="Arial" w:cs="Arial"/>
          <w:bCs/>
          <w:szCs w:val="28"/>
          <w:lang w:eastAsia="ru-RU"/>
        </w:rPr>
        <w:t>-ой организации;</w:t>
      </w:r>
    </w:p>
    <w:p w:rsidR="00C07BAA" w:rsidRPr="00C07BAA" w:rsidRDefault="00C07BAA" w:rsidP="00C07BA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proofErr w:type="spellStart"/>
      <w:proofErr w:type="gramStart"/>
      <w:r w:rsidRPr="00C07BAA">
        <w:rPr>
          <w:rFonts w:ascii="Arial" w:eastAsia="Times New Roman" w:hAnsi="Arial" w:cs="Arial"/>
          <w:b/>
          <w:bCs/>
          <w:szCs w:val="28"/>
          <w:lang w:eastAsia="ru-RU"/>
        </w:rPr>
        <w:t>К</w:t>
      </w:r>
      <w:proofErr w:type="gramEnd"/>
      <w:r w:rsidRPr="00C07BAA">
        <w:rPr>
          <w:rFonts w:ascii="Arial" w:eastAsia="Times New Roman" w:hAnsi="Arial" w:cs="Arial"/>
          <w:b/>
          <w:bCs/>
          <w:szCs w:val="28"/>
          <w:vertAlign w:val="superscript"/>
          <w:lang w:eastAsia="ru-RU"/>
        </w:rPr>
        <w:t>m</w:t>
      </w:r>
      <w:r w:rsidRPr="00C07BAA">
        <w:rPr>
          <w:rFonts w:ascii="Arial" w:eastAsia="Times New Roman" w:hAnsi="Arial" w:cs="Arial"/>
          <w:b/>
          <w:bCs/>
          <w:szCs w:val="28"/>
          <w:vertAlign w:val="subscript"/>
          <w:lang w:eastAsia="ru-RU"/>
        </w:rPr>
        <w:t>n</w:t>
      </w:r>
      <w:proofErr w:type="spellEnd"/>
      <w:r w:rsidRPr="00C07BAA">
        <w:rPr>
          <w:rFonts w:ascii="Arial" w:eastAsia="Times New Roman" w:hAnsi="Arial" w:cs="Arial"/>
          <w:b/>
          <w:bCs/>
          <w:szCs w:val="28"/>
          <w:lang w:eastAsia="ru-RU"/>
        </w:rPr>
        <w:t xml:space="preserve"> –</w:t>
      </w:r>
      <w:r w:rsidRPr="00C07BAA">
        <w:rPr>
          <w:rFonts w:ascii="Arial" w:eastAsia="Times New Roman" w:hAnsi="Arial" w:cs="Arial"/>
          <w:bCs/>
          <w:szCs w:val="28"/>
          <w:lang w:eastAsia="ru-RU"/>
        </w:rPr>
        <w:t xml:space="preserve"> значения критериев оценки в n-ой организации</w:t>
      </w:r>
    </w:p>
    <w:p w:rsidR="00C07BAA" w:rsidRPr="00C07BAA" w:rsidRDefault="00C07BAA" w:rsidP="00C07BAA">
      <w:pPr>
        <w:spacing w:before="480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b/>
          <w:sz w:val="24"/>
          <w:lang w:eastAsia="ru-RU"/>
        </w:rPr>
        <w:t xml:space="preserve">Показатель оценки качества по образовательной организации 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составляет </w:t>
      </w:r>
      <w:r w:rsidRPr="00C07BAA">
        <w:rPr>
          <w:rFonts w:ascii="Arial" w:eastAsiaTheme="minorEastAsia" w:hAnsi="Arial" w:cs="Arial"/>
          <w:b/>
          <w:noProof/>
          <w:sz w:val="28"/>
          <w:szCs w:val="24"/>
          <w:lang w:eastAsia="ru-RU"/>
        </w:rPr>
        <w:t>79,54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балла.</w:t>
      </w:r>
    </w:p>
    <w:p w:rsidR="00C07BAA" w:rsidRPr="00C07BAA" w:rsidRDefault="00C07BAA" w:rsidP="00C07BAA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>«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ХОРОШО</w:t>
      </w: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>».</w:t>
      </w:r>
    </w:p>
    <w:p w:rsidR="00C07BAA" w:rsidRPr="00C07BAA" w:rsidRDefault="00C07BAA" w:rsidP="00C07BAA">
      <w:pPr>
        <w:spacing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C07BAA" w:rsidRPr="00C07BAA" w:rsidRDefault="00C07BAA" w:rsidP="00C07BAA">
      <w:pPr>
        <w:spacing w:before="24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>Основные недостатки образовательной организации, указанные получателями услуг</w:t>
      </w:r>
      <w:r w:rsidRPr="00C07BAA">
        <w:rPr>
          <w:rFonts w:ascii="Arial" w:eastAsiaTheme="minorEastAsia" w:hAnsi="Arial" w:cs="Arial"/>
          <w:b/>
          <w:sz w:val="24"/>
          <w:szCs w:val="24"/>
          <w:vertAlign w:val="superscript"/>
          <w:lang w:eastAsia="ru-RU"/>
        </w:rPr>
        <w:footnoteReference w:id="1"/>
      </w: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>:</w:t>
      </w:r>
    </w:p>
    <w:p w:rsidR="00C07BAA" w:rsidRPr="00C07BAA" w:rsidRDefault="00C07BAA" w:rsidP="00C07BAA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Замечания и предложения были высказаны </w:t>
      </w:r>
      <w:r w:rsidRPr="00C07BAA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14,4</w:t>
      </w: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>%</w:t>
      </w:r>
      <w:r w:rsidRPr="00C07BAA">
        <w:rPr>
          <w:rFonts w:ascii="Arial" w:eastAsiaTheme="minorEastAsia" w:hAnsi="Arial" w:cs="Arial"/>
          <w:sz w:val="24"/>
          <w:szCs w:val="24"/>
          <w:lang w:eastAsia="ru-RU"/>
        </w:rPr>
        <w:t xml:space="preserve"> получателей услуг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оснащение и зонирование детских площадок для прогулок - 14%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график работы - 2%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проблемы питания - 16%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состояние, ремонт и модернизация здания в целом и отдельных его элементов - 3%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образовательно-развивающие программы (недостаток, оплата) - 38%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благоустройство прилегающей территории - 3%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кадры (нехватка, текучка) - 2%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оснащение - 10%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мебель (ремонт, замена, недостаток) - 2%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узкопрофильные специалисты - логопеды, психологи - 7%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охрана, видеонаблюдение, доступ в организацию - 7%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наличие парковски - 5%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медицинское обслуживание - 9%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доступная среда для детей с ОВЗ - 2%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качество работы персонала (вежливость, индивидуальный подход, невыполнение прямых обязанностей) - 2%</w:t>
      </w:r>
    </w:p>
    <w:p w:rsidR="00C07BAA" w:rsidRPr="00C07BAA" w:rsidRDefault="00C07BAA" w:rsidP="00C07BA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доступность питьевой воды - 3%</w:t>
      </w:r>
    </w:p>
    <w:p w:rsidR="00C07BAA" w:rsidRPr="00C07BAA" w:rsidRDefault="00C07BAA" w:rsidP="00C07BAA">
      <w:pPr>
        <w:spacing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C07BAA" w:rsidRPr="00C07BAA" w:rsidRDefault="00C07BAA" w:rsidP="00C07BAA">
      <w:pPr>
        <w:spacing w:before="24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US" w:eastAsia="ru-RU"/>
        </w:rPr>
      </w:pP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>Рекомендации</w:t>
      </w:r>
      <w:r w:rsidRPr="00C07BAA">
        <w:rPr>
          <w:rFonts w:ascii="Arial" w:eastAsiaTheme="minorEastAsia" w:hAnsi="Arial" w:cs="Arial"/>
          <w:b/>
          <w:sz w:val="24"/>
          <w:szCs w:val="24"/>
          <w:lang w:val="en-US" w:eastAsia="ru-RU"/>
        </w:rPr>
        <w:t xml:space="preserve"> </w:t>
      </w: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>для</w:t>
      </w:r>
      <w:r w:rsidRPr="00C07BAA">
        <w:rPr>
          <w:rFonts w:ascii="Arial" w:eastAsiaTheme="minorEastAsia" w:hAnsi="Arial" w:cs="Arial"/>
          <w:b/>
          <w:sz w:val="24"/>
          <w:szCs w:val="24"/>
          <w:lang w:val="en-US" w:eastAsia="ru-RU"/>
        </w:rPr>
        <w:t xml:space="preserve"> </w:t>
      </w: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>образовательной</w:t>
      </w:r>
      <w:r w:rsidRPr="00C07BAA">
        <w:rPr>
          <w:rFonts w:ascii="Arial" w:eastAsiaTheme="minorEastAsia" w:hAnsi="Arial" w:cs="Arial"/>
          <w:b/>
          <w:sz w:val="24"/>
          <w:szCs w:val="24"/>
          <w:lang w:val="en-US" w:eastAsia="ru-RU"/>
        </w:rPr>
        <w:t xml:space="preserve"> </w:t>
      </w:r>
      <w:r w:rsidRPr="00C07BAA">
        <w:rPr>
          <w:rFonts w:ascii="Arial" w:eastAsiaTheme="minorEastAsia" w:hAnsi="Arial" w:cs="Arial"/>
          <w:b/>
          <w:sz w:val="24"/>
          <w:szCs w:val="24"/>
          <w:lang w:eastAsia="ru-RU"/>
        </w:rPr>
        <w:t>организации</w:t>
      </w:r>
      <w:r w:rsidRPr="00C07BAA">
        <w:rPr>
          <w:rFonts w:ascii="Arial" w:eastAsiaTheme="minorEastAsia" w:hAnsi="Arial" w:cs="Arial"/>
          <w:b/>
          <w:sz w:val="24"/>
          <w:szCs w:val="24"/>
          <w:lang w:val="en-US" w:eastAsia="ru-RU"/>
        </w:rPr>
        <w:t>:</w:t>
      </w:r>
    </w:p>
    <w:p w:rsidR="00C07BAA" w:rsidRPr="00C07BAA" w:rsidRDefault="00C07BAA" w:rsidP="00C07BAA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noProof/>
          <w:sz w:val="24"/>
          <w:szCs w:val="24"/>
          <w:lang w:eastAsia="ru-RU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07BAA" w:rsidRPr="00C07BAA" w:rsidRDefault="00C07BAA" w:rsidP="00C07BAA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свидетельства о государственной аккредитации (с приложениями)</w:t>
      </w:r>
    </w:p>
    <w:p w:rsidR="00C07BAA" w:rsidRPr="00C07BAA" w:rsidRDefault="00C07BAA" w:rsidP="00C07BAA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noProof/>
          <w:sz w:val="24"/>
          <w:szCs w:val="24"/>
          <w:lang w:eastAsia="ru-RU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07BAA" w:rsidRPr="00C07BAA" w:rsidRDefault="00C07BAA" w:rsidP="00C07BAA">
      <w:pPr>
        <w:numPr>
          <w:ilvl w:val="0"/>
          <w:numId w:val="8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C07BAA" w:rsidRPr="00C07BAA" w:rsidRDefault="00C07BAA" w:rsidP="00C07BAA">
      <w:pPr>
        <w:numPr>
          <w:ilvl w:val="0"/>
          <w:numId w:val="8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07BAA" w:rsidRPr="00C07BAA" w:rsidRDefault="00C07BAA" w:rsidP="00C07BAA">
      <w:pPr>
        <w:numPr>
          <w:ilvl w:val="0"/>
          <w:numId w:val="8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информацию об аннотации к рабочим программам дисциплин (по каждой дисциплине в составе образовательной программы) с приложением их копий</w:t>
      </w:r>
    </w:p>
    <w:p w:rsidR="00C07BAA" w:rsidRPr="00C07BAA" w:rsidRDefault="00C07BAA" w:rsidP="00C07BAA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noProof/>
          <w:sz w:val="24"/>
          <w:szCs w:val="24"/>
          <w:lang w:eastAsia="ru-RU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07BAA" w:rsidRPr="00C07BAA" w:rsidRDefault="00C07BAA" w:rsidP="00C07BAA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раздел Часто задаваемые вопросы</w:t>
      </w:r>
    </w:p>
    <w:p w:rsidR="00C07BAA" w:rsidRPr="00C07BAA" w:rsidRDefault="00C07BAA" w:rsidP="00C07BAA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noProof/>
          <w:sz w:val="24"/>
          <w:szCs w:val="24"/>
          <w:lang w:eastAsia="ru-RU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07BAA" w:rsidRPr="00C07BAA" w:rsidRDefault="00C07BAA" w:rsidP="00C07BAA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в разделе 'Независимая оценка качества условий оказания услуг' планов и отчетов по итогам НОК в 2019 году</w:t>
      </w:r>
    </w:p>
    <w:p w:rsidR="00C07BAA" w:rsidRPr="00C07BAA" w:rsidRDefault="00C07BAA" w:rsidP="00C07BAA">
      <w:pPr>
        <w:spacing w:before="120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noProof/>
          <w:sz w:val="24"/>
          <w:szCs w:val="24"/>
          <w:lang w:eastAsia="ru-RU"/>
        </w:rPr>
        <w:t>Улучшить условия комфортности оказания услуг, обеспечив:</w:t>
      </w:r>
    </w:p>
    <w:p w:rsidR="00C07BAA" w:rsidRPr="00C07BAA" w:rsidRDefault="00C07BAA" w:rsidP="00C07BAA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наличие и понятность навигации внутри образовательной организации</w:t>
      </w:r>
    </w:p>
    <w:p w:rsidR="00C07BAA" w:rsidRPr="00C07BAA" w:rsidRDefault="00C07BAA" w:rsidP="00C07BAA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наличие и доступность питьевой воды</w:t>
      </w:r>
    </w:p>
    <w:p w:rsidR="00C07BAA" w:rsidRPr="00C07BAA" w:rsidRDefault="00C07BAA" w:rsidP="00C07BAA">
      <w:pPr>
        <w:spacing w:before="12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C07BAA">
        <w:rPr>
          <w:rFonts w:ascii="Arial" w:eastAsiaTheme="minorEastAsia" w:hAnsi="Arial" w:cs="Arial"/>
          <w:noProof/>
          <w:sz w:val="24"/>
          <w:szCs w:val="24"/>
          <w:lang w:eastAsia="ru-RU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C07BAA" w:rsidRPr="00C07BAA" w:rsidRDefault="00C07BAA" w:rsidP="00C07BAA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наличие оборудованных входных групп пандусами (подъемными платформами)</w:t>
      </w:r>
    </w:p>
    <w:p w:rsidR="00C07BAA" w:rsidRPr="00C07BAA" w:rsidRDefault="00C07BAA" w:rsidP="00C07BAA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наличие выделенных стоянок для автотранспортных средств инвалидов</w:t>
      </w:r>
    </w:p>
    <w:p w:rsidR="00C07BAA" w:rsidRPr="00C07BAA" w:rsidRDefault="00C07BAA" w:rsidP="00C07BAA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наличие адаптированных лифтов, поручней, расширенных дверных проемов</w:t>
      </w:r>
    </w:p>
    <w:p w:rsidR="00C07BAA" w:rsidRPr="00C07BAA" w:rsidRDefault="00C07BAA" w:rsidP="00C07BAA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val="en-US" w:eastAsia="ru-RU"/>
        </w:rPr>
      </w:pPr>
      <w:r w:rsidRPr="00C07BAA">
        <w:rPr>
          <w:rFonts w:ascii="Arial" w:eastAsia="Times New Roman" w:hAnsi="Arial" w:cs="Arial"/>
          <w:noProof/>
          <w:szCs w:val="24"/>
          <w:lang w:val="en-US" w:eastAsia="ru-RU"/>
        </w:rPr>
        <w:t>наличие сменных кресел-колясок</w:t>
      </w:r>
    </w:p>
    <w:p w:rsidR="00C07BAA" w:rsidRPr="00C07BAA" w:rsidRDefault="00C07BAA" w:rsidP="00C07BAA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наличие специально оборудованных санитарно-гигиенических помещений в образовательной организации</w:t>
      </w:r>
    </w:p>
    <w:p w:rsidR="00C07BAA" w:rsidRPr="00C07BAA" w:rsidRDefault="00C07BAA" w:rsidP="00C07BAA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дублирование для инвалидов по слуху и зрению звуковой и зрительной информации</w:t>
      </w:r>
    </w:p>
    <w:p w:rsidR="00C07BAA" w:rsidRPr="00C07BAA" w:rsidRDefault="00C07BAA" w:rsidP="00C07BAA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07BAA" w:rsidRPr="00C07BAA" w:rsidRDefault="00C07BAA" w:rsidP="00C07BAA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предоставление инвалидам по слуху (слуху и зрению) услуг сурдопереводчика (тифлосурдопереводчика)</w:t>
      </w:r>
    </w:p>
    <w:p w:rsidR="00C07BAA" w:rsidRPr="00C07BAA" w:rsidRDefault="00C07BAA" w:rsidP="00C07BAA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C07BAA" w:rsidRPr="00C07BAA" w:rsidRDefault="00C07BAA" w:rsidP="00C07BAA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07BAA" w:rsidRPr="00C07BAA" w:rsidRDefault="00C07BAA" w:rsidP="00C07BAA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C07BAA">
        <w:rPr>
          <w:rFonts w:ascii="Arial" w:eastAsia="Times New Roman" w:hAnsi="Arial" w:cs="Arial"/>
          <w:noProof/>
          <w:szCs w:val="24"/>
          <w:lang w:eastAsia="ru-RU"/>
        </w:rPr>
        <w:t>наличие возможности предоставления услуги в дистанционном режиме или на дому</w:t>
      </w:r>
    </w:p>
    <w:p w:rsidR="00C07BAA" w:rsidRPr="00C07BAA" w:rsidRDefault="00C07BAA" w:rsidP="00C07BAA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noProof/>
          <w:sz w:val="24"/>
          <w:szCs w:val="24"/>
          <w:lang w:eastAsia="ru-RU"/>
        </w:rPr>
        <w:t>Продолжить работу по повышению доброжелательности и вежливости работников</w:t>
      </w:r>
    </w:p>
    <w:p w:rsidR="00C07BAA" w:rsidRPr="00C07BAA" w:rsidRDefault="00C07BAA" w:rsidP="00C07BAA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7BAA">
        <w:rPr>
          <w:rFonts w:ascii="Arial" w:eastAsiaTheme="minorEastAsia" w:hAnsi="Arial" w:cs="Arial"/>
          <w:noProof/>
          <w:sz w:val="24"/>
          <w:szCs w:val="24"/>
          <w:lang w:eastAsia="ru-RU"/>
        </w:rPr>
        <w:t>Поддерживать на прежнем уровне условия оказания услуг</w:t>
      </w:r>
    </w:p>
    <w:p w:rsidR="00DC5CB2" w:rsidRDefault="00DC5CB2">
      <w:bookmarkStart w:id="0" w:name="_GoBack"/>
      <w:bookmarkEnd w:id="0"/>
    </w:p>
    <w:sectPr w:rsidR="00DC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66" w:rsidRDefault="00715A66" w:rsidP="00C07BAA">
      <w:pPr>
        <w:spacing w:after="0" w:line="240" w:lineRule="auto"/>
      </w:pPr>
      <w:r>
        <w:separator/>
      </w:r>
    </w:p>
  </w:endnote>
  <w:endnote w:type="continuationSeparator" w:id="0">
    <w:p w:rsidR="00715A66" w:rsidRDefault="00715A66" w:rsidP="00C0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66" w:rsidRDefault="00715A66" w:rsidP="00C07BAA">
      <w:pPr>
        <w:spacing w:after="0" w:line="240" w:lineRule="auto"/>
      </w:pPr>
      <w:r>
        <w:separator/>
      </w:r>
    </w:p>
  </w:footnote>
  <w:footnote w:type="continuationSeparator" w:id="0">
    <w:p w:rsidR="00715A66" w:rsidRDefault="00715A66" w:rsidP="00C07BAA">
      <w:pPr>
        <w:spacing w:after="0" w:line="240" w:lineRule="auto"/>
      </w:pPr>
      <w:r>
        <w:continuationSeparator/>
      </w:r>
    </w:p>
  </w:footnote>
  <w:footnote w:id="1">
    <w:p w:rsidR="00C07BAA" w:rsidRPr="00BB03FE" w:rsidRDefault="00C07BAA" w:rsidP="00C07BAA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AA"/>
    <w:rsid w:val="00715A66"/>
    <w:rsid w:val="00C07BAA"/>
    <w:rsid w:val="00DC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07BA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7BAA"/>
    <w:rPr>
      <w:sz w:val="20"/>
      <w:szCs w:val="20"/>
    </w:rPr>
  </w:style>
  <w:style w:type="character" w:styleId="a5">
    <w:name w:val="footnote reference"/>
    <w:uiPriority w:val="99"/>
    <w:semiHidden/>
    <w:unhideWhenUsed/>
    <w:rsid w:val="00C07B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07BA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7BAA"/>
    <w:rPr>
      <w:sz w:val="20"/>
      <w:szCs w:val="20"/>
    </w:rPr>
  </w:style>
  <w:style w:type="character" w:styleId="a5">
    <w:name w:val="footnote reference"/>
    <w:uiPriority w:val="99"/>
    <w:semiHidden/>
    <w:unhideWhenUsed/>
    <w:rsid w:val="00C07B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ГО Верхняя Пышма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</dc:creator>
  <cp:lastModifiedBy>Полетаева</cp:lastModifiedBy>
  <cp:revision>1</cp:revision>
  <dcterms:created xsi:type="dcterms:W3CDTF">2020-01-27T04:40:00Z</dcterms:created>
  <dcterms:modified xsi:type="dcterms:W3CDTF">2020-01-27T04:40:00Z</dcterms:modified>
</cp:coreProperties>
</file>